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B2" w:rsidRDefault="002414B9" w:rsidP="00370A16">
      <w:pPr>
        <w:contextualSpacing/>
        <w:jc w:val="center"/>
        <w:rPr>
          <w:b/>
          <w:i/>
          <w:sz w:val="32"/>
          <w:szCs w:val="32"/>
        </w:rPr>
      </w:pPr>
      <w:r>
        <w:rPr>
          <w:b/>
          <w:i/>
          <w:noProof/>
          <w:sz w:val="32"/>
          <w:szCs w:val="32"/>
          <w:lang w:eastAsia="en-GB"/>
        </w:rPr>
        <w:pict>
          <v:shapetype id="_x0000_t202" coordsize="21600,21600" o:spt="202" path="m,l,21600r21600,l21600,xe">
            <v:stroke joinstyle="miter"/>
            <v:path gradientshapeok="t" o:connecttype="rect"/>
          </v:shapetype>
          <v:shape id="_x0000_s1027" type="#_x0000_t202" style="position:absolute;left:0;text-align:left;margin-left:14.25pt;margin-top:-19.5pt;width:444.75pt;height:166.5pt;z-index:251658240">
            <v:textbox>
              <w:txbxContent>
                <w:p w:rsidR="00CC38B2" w:rsidRPr="0084498F" w:rsidRDefault="00A27B54">
                  <w:pPr>
                    <w:rPr>
                      <w:rFonts w:ascii="Comic Sans MS" w:hAnsi="Comic Sans MS"/>
                      <w:sz w:val="22"/>
                      <w:szCs w:val="22"/>
                    </w:rPr>
                  </w:pPr>
                  <w:r w:rsidRPr="0084498F">
                    <w:rPr>
                      <w:rFonts w:ascii="Comic Sans MS" w:hAnsi="Comic Sans MS"/>
                      <w:sz w:val="22"/>
                      <w:szCs w:val="22"/>
                    </w:rPr>
                    <w:t>I was embarrassed in my reflections during the homewards journey after the exhilarating EBL day, to realise two serious errors of judgement in my contributions.  The first of these was that I did not prompt enough thinking about my assertions, before we started on the questions and answers.  The second, linked to that, was that I did not make available some extension of the assertions, for those who might want to pursue them further, on their own, or in communication with me.</w:t>
                  </w:r>
                </w:p>
                <w:p w:rsidR="00A27B54" w:rsidRDefault="00A27B54">
                  <w:pPr>
                    <w:rPr>
                      <w:rFonts w:ascii="Comic Sans MS" w:hAnsi="Comic Sans MS"/>
                      <w:sz w:val="22"/>
                      <w:szCs w:val="22"/>
                    </w:rPr>
                  </w:pPr>
                  <w:r w:rsidRPr="0084498F">
                    <w:rPr>
                      <w:rFonts w:ascii="Comic Sans MS" w:hAnsi="Comic Sans MS"/>
                      <w:sz w:val="22"/>
                      <w:szCs w:val="22"/>
                    </w:rPr>
                    <w:t>In these brief notes I try to make good these omissions, to some extent.</w:t>
                  </w:r>
                </w:p>
                <w:p w:rsidR="0084498F" w:rsidRDefault="0084498F">
                  <w:pPr>
                    <w:rPr>
                      <w:rFonts w:ascii="Comic Sans MS" w:hAnsi="Comic Sans MS"/>
                      <w:sz w:val="22"/>
                      <w:szCs w:val="22"/>
                    </w:rPr>
                  </w:pPr>
                  <w:r>
                    <w:rPr>
                      <w:rFonts w:ascii="Comic Sans MS" w:hAnsi="Comic Sans MS"/>
                      <w:sz w:val="22"/>
                      <w:szCs w:val="22"/>
                    </w:rPr>
                    <w:t>John Cowan</w:t>
                  </w:r>
                </w:p>
                <w:p w:rsidR="0084498F" w:rsidRPr="0084498F" w:rsidRDefault="0084498F">
                  <w:pPr>
                    <w:rPr>
                      <w:rFonts w:ascii="Comic Sans MS" w:hAnsi="Comic Sans MS"/>
                      <w:sz w:val="22"/>
                      <w:szCs w:val="22"/>
                    </w:rPr>
                  </w:pPr>
                </w:p>
                <w:p w:rsidR="00A27B54" w:rsidRPr="00A27B54" w:rsidRDefault="00A27B54">
                  <w:pPr>
                    <w:rPr>
                      <w:rFonts w:ascii="Comic Sans MS" w:hAnsi="Comic Sans MS"/>
                    </w:rPr>
                  </w:pPr>
                </w:p>
              </w:txbxContent>
            </v:textbox>
          </v:shape>
        </w:pict>
      </w:r>
    </w:p>
    <w:p w:rsidR="00CC38B2" w:rsidRDefault="00CC38B2" w:rsidP="00370A16">
      <w:pPr>
        <w:contextualSpacing/>
        <w:jc w:val="center"/>
        <w:rPr>
          <w:b/>
          <w:i/>
          <w:sz w:val="32"/>
          <w:szCs w:val="32"/>
        </w:rPr>
      </w:pPr>
    </w:p>
    <w:p w:rsidR="00A27B54" w:rsidRDefault="00A27B54" w:rsidP="00370A16">
      <w:pPr>
        <w:contextualSpacing/>
        <w:jc w:val="center"/>
        <w:rPr>
          <w:b/>
          <w:i/>
          <w:sz w:val="32"/>
          <w:szCs w:val="32"/>
        </w:rPr>
      </w:pPr>
    </w:p>
    <w:p w:rsidR="00A27B54" w:rsidRDefault="00A27B54" w:rsidP="00370A16">
      <w:pPr>
        <w:contextualSpacing/>
        <w:jc w:val="center"/>
        <w:rPr>
          <w:b/>
          <w:i/>
          <w:sz w:val="32"/>
          <w:szCs w:val="32"/>
        </w:rPr>
      </w:pPr>
    </w:p>
    <w:p w:rsidR="00A27B54" w:rsidRDefault="00A27B54" w:rsidP="00370A16">
      <w:pPr>
        <w:contextualSpacing/>
        <w:jc w:val="center"/>
        <w:rPr>
          <w:b/>
          <w:i/>
          <w:sz w:val="32"/>
          <w:szCs w:val="32"/>
        </w:rPr>
      </w:pPr>
    </w:p>
    <w:p w:rsidR="00A27B54" w:rsidRDefault="00A27B54" w:rsidP="00370A16">
      <w:pPr>
        <w:contextualSpacing/>
        <w:jc w:val="center"/>
        <w:rPr>
          <w:b/>
          <w:i/>
          <w:sz w:val="32"/>
          <w:szCs w:val="32"/>
        </w:rPr>
      </w:pPr>
    </w:p>
    <w:p w:rsidR="0084498F" w:rsidRDefault="0084498F" w:rsidP="00370A16">
      <w:pPr>
        <w:contextualSpacing/>
        <w:jc w:val="center"/>
        <w:rPr>
          <w:b/>
          <w:i/>
          <w:sz w:val="32"/>
          <w:szCs w:val="32"/>
        </w:rPr>
      </w:pPr>
    </w:p>
    <w:p w:rsidR="004B261D" w:rsidRDefault="008C5BED" w:rsidP="00370A16">
      <w:pPr>
        <w:contextualSpacing/>
        <w:jc w:val="center"/>
        <w:rPr>
          <w:b/>
          <w:i/>
          <w:sz w:val="32"/>
          <w:szCs w:val="32"/>
        </w:rPr>
      </w:pPr>
      <w:r>
        <w:rPr>
          <w:b/>
          <w:i/>
          <w:sz w:val="32"/>
          <w:szCs w:val="32"/>
        </w:rPr>
        <w:t>B</w:t>
      </w:r>
      <w:r w:rsidR="009E7F0F">
        <w:rPr>
          <w:b/>
          <w:i/>
          <w:sz w:val="32"/>
          <w:szCs w:val="32"/>
        </w:rPr>
        <w:t>eliefs</w:t>
      </w:r>
      <w:r w:rsidR="00370A16">
        <w:rPr>
          <w:b/>
          <w:i/>
          <w:sz w:val="32"/>
          <w:szCs w:val="32"/>
        </w:rPr>
        <w:t xml:space="preserve"> about </w:t>
      </w:r>
      <w:r>
        <w:rPr>
          <w:b/>
          <w:i/>
          <w:sz w:val="32"/>
          <w:szCs w:val="32"/>
        </w:rPr>
        <w:t xml:space="preserve">student learning in </w:t>
      </w:r>
      <w:r w:rsidR="00370A16">
        <w:rPr>
          <w:b/>
          <w:i/>
          <w:sz w:val="32"/>
          <w:szCs w:val="32"/>
        </w:rPr>
        <w:t>EBL</w:t>
      </w:r>
      <w:r>
        <w:rPr>
          <w:b/>
          <w:i/>
          <w:sz w:val="32"/>
          <w:szCs w:val="32"/>
        </w:rPr>
        <w:t xml:space="preserve"> </w:t>
      </w:r>
    </w:p>
    <w:p w:rsidR="00F1252F" w:rsidRDefault="008C5BED" w:rsidP="00370A16">
      <w:pPr>
        <w:contextualSpacing/>
        <w:jc w:val="center"/>
        <w:rPr>
          <w:b/>
          <w:i/>
          <w:sz w:val="32"/>
          <w:szCs w:val="32"/>
        </w:rPr>
      </w:pPr>
      <w:r>
        <w:rPr>
          <w:b/>
          <w:i/>
          <w:sz w:val="32"/>
          <w:szCs w:val="32"/>
        </w:rPr>
        <w:t xml:space="preserve">– </w:t>
      </w:r>
      <w:r w:rsidR="00A27B54">
        <w:rPr>
          <w:b/>
          <w:i/>
          <w:sz w:val="32"/>
          <w:szCs w:val="32"/>
        </w:rPr>
        <w:t>a</w:t>
      </w:r>
      <w:r w:rsidR="00E44492">
        <w:rPr>
          <w:b/>
          <w:i/>
          <w:sz w:val="32"/>
          <w:szCs w:val="32"/>
        </w:rPr>
        <w:t>nd</w:t>
      </w:r>
      <w:r>
        <w:rPr>
          <w:b/>
          <w:i/>
          <w:sz w:val="32"/>
          <w:szCs w:val="32"/>
        </w:rPr>
        <w:t xml:space="preserve"> </w:t>
      </w:r>
      <w:r w:rsidR="004B261D">
        <w:rPr>
          <w:b/>
          <w:i/>
          <w:sz w:val="32"/>
          <w:szCs w:val="32"/>
        </w:rPr>
        <w:t>how that should affect facilitation</w:t>
      </w:r>
    </w:p>
    <w:p w:rsidR="009E7F0F" w:rsidRDefault="009E7F0F" w:rsidP="00370A16">
      <w:pPr>
        <w:pStyle w:val="ListParagraph"/>
        <w:numPr>
          <w:ilvl w:val="0"/>
          <w:numId w:val="2"/>
        </w:numPr>
        <w:rPr>
          <w:sz w:val="22"/>
          <w:szCs w:val="22"/>
        </w:rPr>
      </w:pPr>
      <w:r w:rsidRPr="008B5C30">
        <w:rPr>
          <w:sz w:val="22"/>
          <w:szCs w:val="22"/>
        </w:rPr>
        <w:t xml:space="preserve">At any point in time, a student or group should be able to articulate </w:t>
      </w:r>
      <w:r w:rsidR="008B5C30">
        <w:rPr>
          <w:sz w:val="22"/>
          <w:szCs w:val="22"/>
        </w:rPr>
        <w:t xml:space="preserve">clearly </w:t>
      </w:r>
      <w:r w:rsidRPr="008B5C30">
        <w:rPr>
          <w:sz w:val="22"/>
          <w:szCs w:val="22"/>
        </w:rPr>
        <w:t xml:space="preserve">the </w:t>
      </w:r>
      <w:r w:rsidR="008B5C30" w:rsidRPr="008B5C30">
        <w:rPr>
          <w:sz w:val="22"/>
          <w:szCs w:val="22"/>
        </w:rPr>
        <w:t>question</w:t>
      </w:r>
      <w:r w:rsidRPr="008B5C30">
        <w:rPr>
          <w:sz w:val="22"/>
          <w:szCs w:val="22"/>
        </w:rPr>
        <w:t xml:space="preserve"> for which they are seeking an answer.</w:t>
      </w:r>
    </w:p>
    <w:p w:rsidR="008C5BED" w:rsidRPr="008C5BED" w:rsidRDefault="008C5BED" w:rsidP="0084498F">
      <w:pPr>
        <w:pStyle w:val="ListParagraph"/>
        <w:ind w:firstLine="720"/>
        <w:rPr>
          <w:i/>
          <w:sz w:val="22"/>
          <w:szCs w:val="22"/>
        </w:rPr>
      </w:pPr>
      <w:r>
        <w:rPr>
          <w:i/>
          <w:sz w:val="22"/>
          <w:szCs w:val="22"/>
        </w:rPr>
        <w:t xml:space="preserve">If a learner lacks a clear </w:t>
      </w:r>
      <w:r w:rsidR="00C2398D">
        <w:rPr>
          <w:i/>
          <w:sz w:val="22"/>
          <w:szCs w:val="22"/>
        </w:rPr>
        <w:t>and succinct specification</w:t>
      </w:r>
      <w:r>
        <w:rPr>
          <w:i/>
          <w:sz w:val="22"/>
          <w:szCs w:val="22"/>
        </w:rPr>
        <w:t xml:space="preserve"> of what they are trying to do, or </w:t>
      </w:r>
      <w:r w:rsidR="00E43579">
        <w:rPr>
          <w:i/>
          <w:sz w:val="22"/>
          <w:szCs w:val="22"/>
        </w:rPr>
        <w:t xml:space="preserve">to </w:t>
      </w:r>
      <w:r>
        <w:rPr>
          <w:i/>
          <w:sz w:val="22"/>
          <w:szCs w:val="22"/>
        </w:rPr>
        <w:t xml:space="preserve">learn, they are unlikely to </w:t>
      </w:r>
      <w:r w:rsidR="004B261D">
        <w:rPr>
          <w:i/>
          <w:sz w:val="22"/>
          <w:szCs w:val="22"/>
        </w:rPr>
        <w:t>succeed</w:t>
      </w:r>
      <w:r>
        <w:rPr>
          <w:i/>
          <w:sz w:val="22"/>
          <w:szCs w:val="22"/>
        </w:rPr>
        <w:t xml:space="preserve">.  We should establish a culture in which </w:t>
      </w:r>
      <w:r w:rsidR="00E43579">
        <w:rPr>
          <w:b/>
          <w:i/>
          <w:sz w:val="22"/>
          <w:szCs w:val="22"/>
        </w:rPr>
        <w:t xml:space="preserve">their </w:t>
      </w:r>
      <w:r w:rsidR="00C2417A" w:rsidRPr="0084498F">
        <w:rPr>
          <w:i/>
          <w:sz w:val="22"/>
          <w:szCs w:val="22"/>
        </w:rPr>
        <w:t>regularly</w:t>
      </w:r>
      <w:r w:rsidR="0084498F">
        <w:rPr>
          <w:b/>
          <w:i/>
          <w:sz w:val="22"/>
          <w:szCs w:val="22"/>
        </w:rPr>
        <w:t xml:space="preserve"> </w:t>
      </w:r>
      <w:r w:rsidR="0084498F">
        <w:rPr>
          <w:i/>
          <w:sz w:val="22"/>
          <w:szCs w:val="22"/>
        </w:rPr>
        <w:t xml:space="preserve">considering </w:t>
      </w:r>
      <w:r>
        <w:rPr>
          <w:i/>
          <w:sz w:val="22"/>
          <w:szCs w:val="22"/>
        </w:rPr>
        <w:t xml:space="preserve">and </w:t>
      </w:r>
      <w:r w:rsidR="0084498F">
        <w:rPr>
          <w:i/>
          <w:sz w:val="22"/>
          <w:szCs w:val="22"/>
        </w:rPr>
        <w:t xml:space="preserve">declaring </w:t>
      </w:r>
      <w:r>
        <w:rPr>
          <w:i/>
          <w:sz w:val="22"/>
          <w:szCs w:val="22"/>
        </w:rPr>
        <w:t>the</w:t>
      </w:r>
      <w:r w:rsidR="00E43579">
        <w:rPr>
          <w:i/>
          <w:sz w:val="22"/>
          <w:szCs w:val="22"/>
        </w:rPr>
        <w:t>ir</w:t>
      </w:r>
      <w:r>
        <w:rPr>
          <w:i/>
          <w:sz w:val="22"/>
          <w:szCs w:val="22"/>
        </w:rPr>
        <w:t xml:space="preserve"> next </w:t>
      </w:r>
      <w:r w:rsidR="004B261D">
        <w:rPr>
          <w:i/>
          <w:sz w:val="22"/>
          <w:szCs w:val="22"/>
        </w:rPr>
        <w:t>learning</w:t>
      </w:r>
      <w:r>
        <w:rPr>
          <w:i/>
          <w:sz w:val="22"/>
          <w:szCs w:val="22"/>
        </w:rPr>
        <w:t xml:space="preserve"> </w:t>
      </w:r>
      <w:r w:rsidR="004B261D">
        <w:rPr>
          <w:i/>
          <w:sz w:val="22"/>
          <w:szCs w:val="22"/>
        </w:rPr>
        <w:t>destination</w:t>
      </w:r>
      <w:r>
        <w:rPr>
          <w:i/>
          <w:sz w:val="22"/>
          <w:szCs w:val="22"/>
        </w:rPr>
        <w:t xml:space="preserve"> is the norm</w:t>
      </w:r>
      <w:r w:rsidR="004B261D">
        <w:rPr>
          <w:i/>
          <w:sz w:val="22"/>
          <w:szCs w:val="22"/>
        </w:rPr>
        <w:t xml:space="preserve">, and is </w:t>
      </w:r>
      <w:r w:rsidR="00C2398D">
        <w:rPr>
          <w:i/>
          <w:sz w:val="22"/>
          <w:szCs w:val="22"/>
        </w:rPr>
        <w:t xml:space="preserve">utilised </w:t>
      </w:r>
      <w:r w:rsidR="0084498F">
        <w:rPr>
          <w:i/>
          <w:sz w:val="22"/>
          <w:szCs w:val="22"/>
        </w:rPr>
        <w:t>within</w:t>
      </w:r>
      <w:r w:rsidR="004B261D">
        <w:rPr>
          <w:i/>
          <w:sz w:val="22"/>
          <w:szCs w:val="22"/>
        </w:rPr>
        <w:t xml:space="preserve"> our conversations with them</w:t>
      </w:r>
      <w:r>
        <w:rPr>
          <w:i/>
          <w:sz w:val="22"/>
          <w:szCs w:val="22"/>
        </w:rPr>
        <w:t>.</w:t>
      </w:r>
    </w:p>
    <w:p w:rsidR="009E7F0F" w:rsidRPr="008B5C30" w:rsidRDefault="009E7F0F" w:rsidP="009E7F0F">
      <w:pPr>
        <w:pStyle w:val="ListParagraph"/>
        <w:rPr>
          <w:sz w:val="22"/>
          <w:szCs w:val="22"/>
        </w:rPr>
      </w:pPr>
    </w:p>
    <w:p w:rsidR="00C56B5A" w:rsidRDefault="00831F1F" w:rsidP="00370A16">
      <w:pPr>
        <w:pStyle w:val="ListParagraph"/>
        <w:numPr>
          <w:ilvl w:val="0"/>
          <w:numId w:val="2"/>
        </w:numPr>
        <w:rPr>
          <w:sz w:val="22"/>
          <w:szCs w:val="22"/>
        </w:rPr>
      </w:pPr>
      <w:r w:rsidRPr="008B5C30">
        <w:rPr>
          <w:sz w:val="22"/>
          <w:szCs w:val="22"/>
        </w:rPr>
        <w:t xml:space="preserve">Posing good questions is a </w:t>
      </w:r>
      <w:r w:rsidR="00370A16" w:rsidRPr="008B5C30">
        <w:rPr>
          <w:sz w:val="22"/>
          <w:szCs w:val="22"/>
        </w:rPr>
        <w:t>demanding</w:t>
      </w:r>
      <w:r w:rsidRPr="008B5C30">
        <w:rPr>
          <w:sz w:val="22"/>
          <w:szCs w:val="22"/>
        </w:rPr>
        <w:t xml:space="preserve"> skill; </w:t>
      </w:r>
      <w:r w:rsidR="009E7F0F" w:rsidRPr="008B5C30">
        <w:rPr>
          <w:sz w:val="22"/>
          <w:szCs w:val="22"/>
        </w:rPr>
        <w:t>tutors</w:t>
      </w:r>
      <w:r w:rsidRPr="008B5C30">
        <w:rPr>
          <w:sz w:val="22"/>
          <w:szCs w:val="22"/>
        </w:rPr>
        <w:t xml:space="preserve"> should </w:t>
      </w:r>
      <w:r w:rsidR="00370A16" w:rsidRPr="008B5C30">
        <w:rPr>
          <w:sz w:val="22"/>
          <w:szCs w:val="22"/>
        </w:rPr>
        <w:t xml:space="preserve">set out </w:t>
      </w:r>
      <w:r w:rsidR="008B5C30" w:rsidRPr="008B5C30">
        <w:rPr>
          <w:sz w:val="22"/>
          <w:szCs w:val="22"/>
        </w:rPr>
        <w:t>purposefully</w:t>
      </w:r>
      <w:r w:rsidR="00370A16" w:rsidRPr="008B5C30">
        <w:rPr>
          <w:sz w:val="22"/>
          <w:szCs w:val="22"/>
        </w:rPr>
        <w:t xml:space="preserve"> to </w:t>
      </w:r>
      <w:r w:rsidRPr="008B5C30">
        <w:rPr>
          <w:sz w:val="22"/>
          <w:szCs w:val="22"/>
        </w:rPr>
        <w:t>develop it</w:t>
      </w:r>
      <w:r w:rsidR="00370A16" w:rsidRPr="008B5C30">
        <w:rPr>
          <w:sz w:val="22"/>
          <w:szCs w:val="22"/>
        </w:rPr>
        <w:t>.</w:t>
      </w:r>
    </w:p>
    <w:p w:rsidR="00E43579" w:rsidRPr="00E43579" w:rsidRDefault="00E43579" w:rsidP="0084498F">
      <w:pPr>
        <w:pStyle w:val="ListParagraph"/>
        <w:ind w:firstLine="720"/>
        <w:rPr>
          <w:i/>
          <w:sz w:val="22"/>
          <w:szCs w:val="22"/>
        </w:rPr>
      </w:pPr>
      <w:r>
        <w:rPr>
          <w:i/>
          <w:sz w:val="22"/>
          <w:szCs w:val="22"/>
        </w:rPr>
        <w:t xml:space="preserve">Vague questions or enquiries yield vague answers or </w:t>
      </w:r>
      <w:r w:rsidR="004B261D">
        <w:rPr>
          <w:i/>
          <w:sz w:val="22"/>
          <w:szCs w:val="22"/>
        </w:rPr>
        <w:t>information</w:t>
      </w:r>
      <w:r w:rsidR="00C2398D">
        <w:rPr>
          <w:i/>
          <w:sz w:val="22"/>
          <w:szCs w:val="22"/>
        </w:rPr>
        <w:t>.  Yet p</w:t>
      </w:r>
      <w:r>
        <w:rPr>
          <w:i/>
          <w:sz w:val="22"/>
          <w:szCs w:val="22"/>
        </w:rPr>
        <w:t xml:space="preserve">inpointing what is needed does </w:t>
      </w:r>
      <w:r w:rsidR="004B261D">
        <w:rPr>
          <w:i/>
          <w:sz w:val="22"/>
          <w:szCs w:val="22"/>
        </w:rPr>
        <w:t>not</w:t>
      </w:r>
      <w:r>
        <w:rPr>
          <w:i/>
          <w:sz w:val="22"/>
          <w:szCs w:val="22"/>
        </w:rPr>
        <w:t xml:space="preserve"> always come naturally.  It is </w:t>
      </w:r>
      <w:r w:rsidR="004B261D">
        <w:rPr>
          <w:i/>
          <w:sz w:val="22"/>
          <w:szCs w:val="22"/>
        </w:rPr>
        <w:t>easy (and dependent)</w:t>
      </w:r>
      <w:r>
        <w:rPr>
          <w:i/>
          <w:sz w:val="22"/>
          <w:szCs w:val="22"/>
        </w:rPr>
        <w:t xml:space="preserve"> </w:t>
      </w:r>
      <w:r w:rsidR="00C2417A">
        <w:rPr>
          <w:i/>
          <w:sz w:val="22"/>
          <w:szCs w:val="22"/>
        </w:rPr>
        <w:t>for</w:t>
      </w:r>
      <w:r w:rsidR="0084498F">
        <w:rPr>
          <w:i/>
          <w:sz w:val="22"/>
          <w:szCs w:val="22"/>
        </w:rPr>
        <w:t xml:space="preserve"> students </w:t>
      </w:r>
      <w:r>
        <w:rPr>
          <w:i/>
          <w:sz w:val="22"/>
          <w:szCs w:val="22"/>
        </w:rPr>
        <w:t xml:space="preserve">to declare, in a plaintive plea for </w:t>
      </w:r>
      <w:r w:rsidR="004B261D">
        <w:rPr>
          <w:i/>
          <w:sz w:val="22"/>
          <w:szCs w:val="22"/>
        </w:rPr>
        <w:t>teacher</w:t>
      </w:r>
      <w:r>
        <w:rPr>
          <w:i/>
          <w:sz w:val="22"/>
          <w:szCs w:val="22"/>
        </w:rPr>
        <w:t xml:space="preserve">-direction “I’m having difficulty with ..........”  We need to help learners to be able to ask, </w:t>
      </w:r>
      <w:r w:rsidR="00C2398D">
        <w:rPr>
          <w:i/>
          <w:sz w:val="22"/>
          <w:szCs w:val="22"/>
        </w:rPr>
        <w:t xml:space="preserve">of </w:t>
      </w:r>
      <w:r w:rsidR="004B261D">
        <w:rPr>
          <w:i/>
          <w:sz w:val="22"/>
          <w:szCs w:val="22"/>
        </w:rPr>
        <w:t>sources</w:t>
      </w:r>
      <w:r>
        <w:rPr>
          <w:i/>
          <w:sz w:val="22"/>
          <w:szCs w:val="22"/>
        </w:rPr>
        <w:t xml:space="preserve"> as well as </w:t>
      </w:r>
      <w:r w:rsidR="00C2398D">
        <w:rPr>
          <w:i/>
          <w:sz w:val="22"/>
          <w:szCs w:val="22"/>
        </w:rPr>
        <w:t xml:space="preserve">of </w:t>
      </w:r>
      <w:r>
        <w:rPr>
          <w:i/>
          <w:sz w:val="22"/>
          <w:szCs w:val="22"/>
        </w:rPr>
        <w:t xml:space="preserve">people, for the </w:t>
      </w:r>
      <w:r w:rsidR="004B261D">
        <w:rPr>
          <w:i/>
          <w:sz w:val="22"/>
          <w:szCs w:val="22"/>
        </w:rPr>
        <w:t>specific information</w:t>
      </w:r>
      <w:r>
        <w:rPr>
          <w:i/>
          <w:sz w:val="22"/>
          <w:szCs w:val="22"/>
        </w:rPr>
        <w:t xml:space="preserve"> which will help them to progress</w:t>
      </w:r>
      <w:r w:rsidR="0084498F">
        <w:rPr>
          <w:i/>
          <w:sz w:val="22"/>
          <w:szCs w:val="22"/>
        </w:rPr>
        <w:t xml:space="preserve"> or themselves</w:t>
      </w:r>
      <w:r>
        <w:rPr>
          <w:i/>
          <w:sz w:val="22"/>
          <w:szCs w:val="22"/>
        </w:rPr>
        <w:t>.</w:t>
      </w:r>
    </w:p>
    <w:p w:rsidR="00370A16" w:rsidRPr="008B5C30" w:rsidRDefault="00370A16" w:rsidP="00370A16">
      <w:pPr>
        <w:pStyle w:val="ListParagraph"/>
        <w:rPr>
          <w:sz w:val="22"/>
          <w:szCs w:val="22"/>
        </w:rPr>
      </w:pPr>
    </w:p>
    <w:p w:rsidR="00370A16" w:rsidRDefault="00370A16" w:rsidP="00370A16">
      <w:pPr>
        <w:pStyle w:val="ListParagraph"/>
        <w:numPr>
          <w:ilvl w:val="0"/>
          <w:numId w:val="2"/>
        </w:numPr>
        <w:rPr>
          <w:sz w:val="22"/>
          <w:szCs w:val="22"/>
        </w:rPr>
      </w:pPr>
      <w:r w:rsidRPr="008B5C30">
        <w:rPr>
          <w:sz w:val="22"/>
          <w:szCs w:val="22"/>
        </w:rPr>
        <w:t xml:space="preserve">Posing good questions is a valuable skill; </w:t>
      </w:r>
      <w:r w:rsidR="00FE03FD">
        <w:rPr>
          <w:sz w:val="22"/>
          <w:szCs w:val="22"/>
        </w:rPr>
        <w:t>the system</w:t>
      </w:r>
      <w:r w:rsidRPr="008B5C30">
        <w:rPr>
          <w:sz w:val="22"/>
          <w:szCs w:val="22"/>
        </w:rPr>
        <w:t xml:space="preserve"> should </w:t>
      </w:r>
      <w:r w:rsidR="00373D74">
        <w:rPr>
          <w:sz w:val="22"/>
          <w:szCs w:val="22"/>
        </w:rPr>
        <w:t xml:space="preserve">be seen to </w:t>
      </w:r>
      <w:r w:rsidRPr="008B5C30">
        <w:rPr>
          <w:sz w:val="22"/>
          <w:szCs w:val="22"/>
        </w:rPr>
        <w:t>value it.</w:t>
      </w:r>
    </w:p>
    <w:p w:rsidR="00E43579" w:rsidRPr="00E43579" w:rsidRDefault="00E43579" w:rsidP="0084498F">
      <w:pPr>
        <w:pStyle w:val="ListParagraph"/>
        <w:ind w:firstLine="720"/>
        <w:rPr>
          <w:i/>
          <w:sz w:val="22"/>
          <w:szCs w:val="22"/>
        </w:rPr>
      </w:pPr>
      <w:r>
        <w:rPr>
          <w:i/>
          <w:sz w:val="22"/>
          <w:szCs w:val="22"/>
        </w:rPr>
        <w:t>As researchers and scholars</w:t>
      </w:r>
      <w:r w:rsidR="004B261D">
        <w:rPr>
          <w:i/>
          <w:sz w:val="22"/>
          <w:szCs w:val="22"/>
        </w:rPr>
        <w:t>,</w:t>
      </w:r>
      <w:r>
        <w:rPr>
          <w:i/>
          <w:sz w:val="22"/>
          <w:szCs w:val="22"/>
        </w:rPr>
        <w:t xml:space="preserve"> we value the person who can ask a searching </w:t>
      </w:r>
      <w:r w:rsidR="004B261D">
        <w:rPr>
          <w:i/>
          <w:sz w:val="22"/>
          <w:szCs w:val="22"/>
        </w:rPr>
        <w:t>question</w:t>
      </w:r>
      <w:r>
        <w:rPr>
          <w:i/>
          <w:sz w:val="22"/>
          <w:szCs w:val="22"/>
        </w:rPr>
        <w:t xml:space="preserve"> which is pertinent – especially if it is </w:t>
      </w:r>
      <w:r w:rsidR="004B261D">
        <w:rPr>
          <w:i/>
          <w:sz w:val="22"/>
          <w:szCs w:val="22"/>
        </w:rPr>
        <w:t>directed</w:t>
      </w:r>
      <w:r>
        <w:rPr>
          <w:i/>
          <w:sz w:val="22"/>
          <w:szCs w:val="22"/>
        </w:rPr>
        <w:t xml:space="preserve"> towards something which </w:t>
      </w:r>
      <w:r w:rsidR="004B261D">
        <w:rPr>
          <w:i/>
          <w:sz w:val="22"/>
          <w:szCs w:val="22"/>
        </w:rPr>
        <w:t>has</w:t>
      </w:r>
      <w:r>
        <w:rPr>
          <w:i/>
          <w:sz w:val="22"/>
          <w:szCs w:val="22"/>
        </w:rPr>
        <w:t xml:space="preserve"> been missing from discussion, input or enquiry so far.  </w:t>
      </w:r>
      <w:r w:rsidR="004B261D">
        <w:rPr>
          <w:i/>
          <w:sz w:val="22"/>
          <w:szCs w:val="22"/>
        </w:rPr>
        <w:t>Since</w:t>
      </w:r>
      <w:r>
        <w:rPr>
          <w:i/>
          <w:sz w:val="22"/>
          <w:szCs w:val="22"/>
        </w:rPr>
        <w:t xml:space="preserve"> we value that</w:t>
      </w:r>
      <w:r w:rsidR="00C2398D">
        <w:rPr>
          <w:i/>
          <w:sz w:val="22"/>
          <w:szCs w:val="22"/>
        </w:rPr>
        <w:t xml:space="preserve"> critical thinking and </w:t>
      </w:r>
      <w:r w:rsidR="0084498F">
        <w:rPr>
          <w:i/>
          <w:sz w:val="22"/>
          <w:szCs w:val="22"/>
        </w:rPr>
        <w:t xml:space="preserve">the </w:t>
      </w:r>
      <w:r w:rsidR="00C2398D">
        <w:rPr>
          <w:i/>
          <w:sz w:val="22"/>
          <w:szCs w:val="22"/>
        </w:rPr>
        <w:t>questioning arising from it</w:t>
      </w:r>
      <w:r>
        <w:rPr>
          <w:i/>
          <w:sz w:val="22"/>
          <w:szCs w:val="22"/>
        </w:rPr>
        <w:t xml:space="preserve">, we should </w:t>
      </w:r>
      <w:r w:rsidR="004B261D">
        <w:rPr>
          <w:i/>
          <w:sz w:val="22"/>
          <w:szCs w:val="22"/>
        </w:rPr>
        <w:t xml:space="preserve">try to </w:t>
      </w:r>
      <w:r>
        <w:rPr>
          <w:i/>
          <w:sz w:val="22"/>
          <w:szCs w:val="22"/>
        </w:rPr>
        <w:t xml:space="preserve">ensure that our assessment scheme, </w:t>
      </w:r>
      <w:r w:rsidR="004B261D">
        <w:rPr>
          <w:i/>
          <w:sz w:val="22"/>
          <w:szCs w:val="22"/>
        </w:rPr>
        <w:t>and</w:t>
      </w:r>
      <w:r>
        <w:rPr>
          <w:i/>
          <w:sz w:val="22"/>
          <w:szCs w:val="22"/>
        </w:rPr>
        <w:t xml:space="preserve"> our </w:t>
      </w:r>
      <w:r w:rsidR="004B261D">
        <w:rPr>
          <w:i/>
          <w:sz w:val="22"/>
          <w:szCs w:val="22"/>
        </w:rPr>
        <w:t xml:space="preserve">explicit </w:t>
      </w:r>
      <w:r w:rsidR="00C2398D">
        <w:rPr>
          <w:i/>
          <w:sz w:val="22"/>
          <w:szCs w:val="22"/>
        </w:rPr>
        <w:t>feedback, recognise and reward</w:t>
      </w:r>
      <w:r>
        <w:rPr>
          <w:i/>
          <w:sz w:val="22"/>
          <w:szCs w:val="22"/>
        </w:rPr>
        <w:t xml:space="preserve"> such searching </w:t>
      </w:r>
      <w:r w:rsidR="004B261D">
        <w:rPr>
          <w:i/>
          <w:sz w:val="22"/>
          <w:szCs w:val="22"/>
        </w:rPr>
        <w:t>questions</w:t>
      </w:r>
      <w:r>
        <w:rPr>
          <w:i/>
          <w:sz w:val="22"/>
          <w:szCs w:val="22"/>
        </w:rPr>
        <w:t>.</w:t>
      </w:r>
    </w:p>
    <w:p w:rsidR="00370A16" w:rsidRPr="008B5C30" w:rsidRDefault="00370A16" w:rsidP="00370A16">
      <w:pPr>
        <w:pStyle w:val="ListParagraph"/>
        <w:rPr>
          <w:sz w:val="22"/>
          <w:szCs w:val="22"/>
        </w:rPr>
      </w:pPr>
    </w:p>
    <w:p w:rsidR="00FE03FD" w:rsidRDefault="00FE03FD" w:rsidP="00370A16">
      <w:pPr>
        <w:pStyle w:val="ListParagraph"/>
        <w:numPr>
          <w:ilvl w:val="0"/>
          <w:numId w:val="2"/>
        </w:numPr>
        <w:rPr>
          <w:sz w:val="22"/>
          <w:szCs w:val="22"/>
        </w:rPr>
      </w:pPr>
      <w:r>
        <w:rPr>
          <w:sz w:val="22"/>
          <w:szCs w:val="22"/>
        </w:rPr>
        <w:t>EBL will</w:t>
      </w:r>
      <w:r w:rsidR="00373D74">
        <w:rPr>
          <w:sz w:val="22"/>
          <w:szCs w:val="22"/>
        </w:rPr>
        <w:t>,</w:t>
      </w:r>
      <w:r>
        <w:rPr>
          <w:sz w:val="22"/>
          <w:szCs w:val="22"/>
        </w:rPr>
        <w:t xml:space="preserve"> or should</w:t>
      </w:r>
      <w:r w:rsidR="00373D74">
        <w:rPr>
          <w:sz w:val="22"/>
          <w:szCs w:val="22"/>
        </w:rPr>
        <w:t>,</w:t>
      </w:r>
      <w:r>
        <w:rPr>
          <w:sz w:val="22"/>
          <w:szCs w:val="22"/>
        </w:rPr>
        <w:t xml:space="preserve"> demand much development of abilities; the plan for reflection and assessment should recognise that.</w:t>
      </w:r>
    </w:p>
    <w:p w:rsidR="00FE03FD" w:rsidRDefault="000B0C9B" w:rsidP="0084498F">
      <w:pPr>
        <w:pStyle w:val="ListParagraph"/>
        <w:ind w:firstLine="720"/>
        <w:rPr>
          <w:i/>
          <w:sz w:val="22"/>
          <w:szCs w:val="22"/>
        </w:rPr>
      </w:pPr>
      <w:r>
        <w:rPr>
          <w:i/>
          <w:sz w:val="22"/>
          <w:szCs w:val="22"/>
        </w:rPr>
        <w:t xml:space="preserve">In EBL schemes, students must analyse, judge, plan pro-actively, contribute effectively to group work, and so on.  These abilities may often be relatively new to them.  They will certainly bring new demands for them.  It is useful to make space </w:t>
      </w:r>
      <w:r w:rsidR="00C4436B">
        <w:rPr>
          <w:i/>
          <w:sz w:val="22"/>
          <w:szCs w:val="22"/>
        </w:rPr>
        <w:t xml:space="preserve">in the programme </w:t>
      </w:r>
      <w:r>
        <w:rPr>
          <w:i/>
          <w:sz w:val="22"/>
          <w:szCs w:val="22"/>
        </w:rPr>
        <w:t xml:space="preserve">for </w:t>
      </w:r>
      <w:r w:rsidR="00C2398D">
        <w:rPr>
          <w:i/>
          <w:sz w:val="22"/>
          <w:szCs w:val="22"/>
        </w:rPr>
        <w:t xml:space="preserve">students’ </w:t>
      </w:r>
      <w:r>
        <w:rPr>
          <w:i/>
          <w:sz w:val="22"/>
          <w:szCs w:val="22"/>
        </w:rPr>
        <w:t>reflecting on what the next challenges are, and how they should be tackled</w:t>
      </w:r>
      <w:r w:rsidR="00C4436B">
        <w:rPr>
          <w:i/>
          <w:sz w:val="22"/>
          <w:szCs w:val="22"/>
        </w:rPr>
        <w:t xml:space="preserve"> – and for sharing such thoughts constructively with peers</w:t>
      </w:r>
      <w:r>
        <w:rPr>
          <w:i/>
          <w:sz w:val="22"/>
          <w:szCs w:val="22"/>
        </w:rPr>
        <w:t>.  It is then an essential feature of an</w:t>
      </w:r>
      <w:r w:rsidR="00C4436B">
        <w:rPr>
          <w:i/>
          <w:sz w:val="22"/>
          <w:szCs w:val="22"/>
        </w:rPr>
        <w:t>y</w:t>
      </w:r>
      <w:r>
        <w:rPr>
          <w:i/>
          <w:sz w:val="22"/>
          <w:szCs w:val="22"/>
        </w:rPr>
        <w:t xml:space="preserve"> aligned </w:t>
      </w:r>
      <w:r w:rsidR="004B261D">
        <w:rPr>
          <w:i/>
          <w:sz w:val="22"/>
          <w:szCs w:val="22"/>
        </w:rPr>
        <w:t>curriculum</w:t>
      </w:r>
      <w:r>
        <w:rPr>
          <w:i/>
          <w:sz w:val="22"/>
          <w:szCs w:val="22"/>
        </w:rPr>
        <w:t xml:space="preserve"> that such effort and development is assessed – and thereby rewarded.</w:t>
      </w:r>
      <w:r w:rsidR="00C4436B">
        <w:rPr>
          <w:i/>
          <w:sz w:val="22"/>
          <w:szCs w:val="22"/>
        </w:rPr>
        <w:t xml:space="preserve">  The system may not accord facilitators full freedom in this – but we should do as much as we can.</w:t>
      </w:r>
    </w:p>
    <w:p w:rsidR="00E43579" w:rsidRPr="00E43579" w:rsidRDefault="00E43579" w:rsidP="00FE03FD">
      <w:pPr>
        <w:pStyle w:val="ListParagraph"/>
        <w:rPr>
          <w:i/>
          <w:sz w:val="22"/>
          <w:szCs w:val="22"/>
        </w:rPr>
      </w:pPr>
    </w:p>
    <w:p w:rsidR="00FE03FD" w:rsidRDefault="00FE03FD" w:rsidP="00FE03FD">
      <w:pPr>
        <w:pStyle w:val="ListParagraph"/>
        <w:numPr>
          <w:ilvl w:val="0"/>
          <w:numId w:val="2"/>
        </w:numPr>
        <w:rPr>
          <w:sz w:val="22"/>
          <w:szCs w:val="22"/>
        </w:rPr>
      </w:pPr>
      <w:r w:rsidRPr="008B5C30">
        <w:rPr>
          <w:sz w:val="22"/>
          <w:szCs w:val="22"/>
        </w:rPr>
        <w:t xml:space="preserve">Student-direction implies students’ </w:t>
      </w:r>
      <w:r w:rsidR="00373D74">
        <w:rPr>
          <w:sz w:val="22"/>
          <w:szCs w:val="22"/>
        </w:rPr>
        <w:t>specification</w:t>
      </w:r>
      <w:r w:rsidRPr="008B5C30">
        <w:rPr>
          <w:sz w:val="22"/>
          <w:szCs w:val="22"/>
        </w:rPr>
        <w:t xml:space="preserve"> of criteria, within agreed limits.</w:t>
      </w:r>
    </w:p>
    <w:p w:rsidR="000B0C9B" w:rsidRPr="000B0C9B" w:rsidRDefault="000B0C9B" w:rsidP="0084498F">
      <w:pPr>
        <w:pStyle w:val="ListParagraph"/>
        <w:ind w:firstLine="720"/>
        <w:rPr>
          <w:i/>
          <w:sz w:val="22"/>
          <w:szCs w:val="22"/>
        </w:rPr>
      </w:pPr>
      <w:r>
        <w:rPr>
          <w:i/>
          <w:sz w:val="22"/>
          <w:szCs w:val="22"/>
        </w:rPr>
        <w:t>Students cannot direct their development and learning without a clear idea, not only of what they want to achieve, but of how well they wis</w:t>
      </w:r>
      <w:r w:rsidR="00C2398D">
        <w:rPr>
          <w:i/>
          <w:sz w:val="22"/>
          <w:szCs w:val="22"/>
        </w:rPr>
        <w:t>h to do that.  Judging how well -</w:t>
      </w:r>
      <w:r>
        <w:rPr>
          <w:i/>
          <w:sz w:val="22"/>
          <w:szCs w:val="22"/>
        </w:rPr>
        <w:t xml:space="preserve"> in anticipation</w:t>
      </w:r>
      <w:r w:rsidR="00C2398D">
        <w:rPr>
          <w:i/>
          <w:sz w:val="22"/>
          <w:szCs w:val="22"/>
        </w:rPr>
        <w:t>,</w:t>
      </w:r>
      <w:r>
        <w:rPr>
          <w:i/>
          <w:sz w:val="22"/>
          <w:szCs w:val="22"/>
        </w:rPr>
        <w:t xml:space="preserve"> or during</w:t>
      </w:r>
      <w:r w:rsidR="00C2398D">
        <w:rPr>
          <w:i/>
          <w:sz w:val="22"/>
          <w:szCs w:val="22"/>
        </w:rPr>
        <w:t>, or after the event -</w:t>
      </w:r>
      <w:r>
        <w:rPr>
          <w:i/>
          <w:sz w:val="22"/>
          <w:szCs w:val="22"/>
        </w:rPr>
        <w:t xml:space="preserve"> entails having criteria against which to judge progress</w:t>
      </w:r>
      <w:r w:rsidR="00C2398D">
        <w:rPr>
          <w:i/>
          <w:sz w:val="22"/>
          <w:szCs w:val="22"/>
        </w:rPr>
        <w:t>,</w:t>
      </w:r>
      <w:r>
        <w:rPr>
          <w:i/>
          <w:sz w:val="22"/>
          <w:szCs w:val="22"/>
        </w:rPr>
        <w:t xml:space="preserve"> by describing performance in the same terms as </w:t>
      </w:r>
      <w:r w:rsidR="00C2398D">
        <w:rPr>
          <w:i/>
          <w:sz w:val="22"/>
          <w:szCs w:val="22"/>
        </w:rPr>
        <w:t xml:space="preserve">are </w:t>
      </w:r>
      <w:r>
        <w:rPr>
          <w:i/>
          <w:sz w:val="22"/>
          <w:szCs w:val="22"/>
        </w:rPr>
        <w:t>used in the criteria.</w:t>
      </w:r>
      <w:r w:rsidR="00C4436B">
        <w:rPr>
          <w:i/>
          <w:sz w:val="22"/>
          <w:szCs w:val="22"/>
        </w:rPr>
        <w:t xml:space="preserve">  Facilitators should prompt learners to articulate, and then apply, their own criteria to plans, progress and achievements.</w:t>
      </w:r>
    </w:p>
    <w:p w:rsidR="00FE03FD" w:rsidRPr="008B5C30" w:rsidRDefault="00FE03FD" w:rsidP="00FE03FD">
      <w:pPr>
        <w:pStyle w:val="ListParagraph"/>
        <w:rPr>
          <w:sz w:val="22"/>
          <w:szCs w:val="22"/>
        </w:rPr>
      </w:pPr>
    </w:p>
    <w:p w:rsidR="00FE03FD" w:rsidRDefault="00FE03FD" w:rsidP="00FE03FD">
      <w:pPr>
        <w:pStyle w:val="ListParagraph"/>
        <w:numPr>
          <w:ilvl w:val="0"/>
          <w:numId w:val="2"/>
        </w:numPr>
        <w:rPr>
          <w:sz w:val="22"/>
          <w:szCs w:val="22"/>
        </w:rPr>
      </w:pPr>
      <w:r w:rsidRPr="008B5C30">
        <w:rPr>
          <w:sz w:val="22"/>
          <w:szCs w:val="22"/>
        </w:rPr>
        <w:t xml:space="preserve">Student-direction implies </w:t>
      </w:r>
      <w:r w:rsidR="007A5391">
        <w:rPr>
          <w:sz w:val="22"/>
          <w:szCs w:val="22"/>
        </w:rPr>
        <w:t xml:space="preserve">formative and summative </w:t>
      </w:r>
      <w:r w:rsidRPr="008B5C30">
        <w:rPr>
          <w:sz w:val="22"/>
          <w:szCs w:val="22"/>
        </w:rPr>
        <w:t>self-assessment.</w:t>
      </w:r>
    </w:p>
    <w:p w:rsidR="000B0C9B" w:rsidRPr="000B0C9B" w:rsidRDefault="004B261D" w:rsidP="0084498F">
      <w:pPr>
        <w:pStyle w:val="ListParagraph"/>
        <w:ind w:firstLine="720"/>
        <w:rPr>
          <w:i/>
          <w:sz w:val="22"/>
          <w:szCs w:val="22"/>
        </w:rPr>
      </w:pPr>
      <w:r>
        <w:rPr>
          <w:i/>
          <w:sz w:val="22"/>
          <w:szCs w:val="22"/>
        </w:rPr>
        <w:t xml:space="preserve">Students who are taking responsibility for their own learning and development cannot manage </w:t>
      </w:r>
      <w:r w:rsidR="0084498F">
        <w:rPr>
          <w:i/>
          <w:sz w:val="22"/>
          <w:szCs w:val="22"/>
        </w:rPr>
        <w:t>this</w:t>
      </w:r>
      <w:r>
        <w:rPr>
          <w:i/>
          <w:sz w:val="22"/>
          <w:szCs w:val="22"/>
        </w:rPr>
        <w:t xml:space="preserve"> without, as they progress, monitoring </w:t>
      </w:r>
      <w:r w:rsidR="00C2398D">
        <w:rPr>
          <w:i/>
          <w:sz w:val="22"/>
          <w:szCs w:val="22"/>
        </w:rPr>
        <w:t xml:space="preserve">their </w:t>
      </w:r>
      <w:r>
        <w:rPr>
          <w:i/>
          <w:sz w:val="22"/>
          <w:szCs w:val="22"/>
        </w:rPr>
        <w:t xml:space="preserve">progress and outstanding needs – in formative self-assessment, formal or informal.  Then, </w:t>
      </w:r>
      <w:r w:rsidR="00E44492">
        <w:rPr>
          <w:i/>
          <w:sz w:val="22"/>
          <w:szCs w:val="22"/>
        </w:rPr>
        <w:t xml:space="preserve">in due course as Taras’s research has shown, they </w:t>
      </w:r>
      <w:r w:rsidR="0084498F">
        <w:rPr>
          <w:i/>
          <w:sz w:val="22"/>
          <w:szCs w:val="22"/>
        </w:rPr>
        <w:t xml:space="preserve">will </w:t>
      </w:r>
      <w:r w:rsidR="00E44492">
        <w:rPr>
          <w:i/>
          <w:sz w:val="22"/>
          <w:szCs w:val="22"/>
        </w:rPr>
        <w:t xml:space="preserve">learn much more from and during feedback if they have to make and declare their own assessment, before being told the tutor’s grade.  It an arrangement which takes little extra time – and promotes </w:t>
      </w:r>
      <w:r w:rsidR="00C2398D">
        <w:rPr>
          <w:i/>
          <w:sz w:val="22"/>
          <w:szCs w:val="22"/>
        </w:rPr>
        <w:t xml:space="preserve">productive </w:t>
      </w:r>
      <w:r w:rsidR="00E44492">
        <w:rPr>
          <w:i/>
          <w:sz w:val="22"/>
          <w:szCs w:val="22"/>
        </w:rPr>
        <w:t>reflective development.</w:t>
      </w:r>
    </w:p>
    <w:p w:rsidR="00FE03FD" w:rsidRPr="008B5C30" w:rsidRDefault="00FE03FD" w:rsidP="00FE03FD">
      <w:pPr>
        <w:pStyle w:val="ListParagraph"/>
        <w:rPr>
          <w:sz w:val="22"/>
          <w:szCs w:val="22"/>
        </w:rPr>
      </w:pPr>
    </w:p>
    <w:p w:rsidR="00FE03FD" w:rsidRDefault="00FE03FD" w:rsidP="00370A16">
      <w:pPr>
        <w:pStyle w:val="ListParagraph"/>
        <w:numPr>
          <w:ilvl w:val="0"/>
          <w:numId w:val="2"/>
        </w:numPr>
        <w:rPr>
          <w:sz w:val="22"/>
          <w:szCs w:val="22"/>
        </w:rPr>
      </w:pPr>
      <w:r w:rsidRPr="00FE03FD">
        <w:rPr>
          <w:sz w:val="22"/>
          <w:szCs w:val="22"/>
        </w:rPr>
        <w:t>The potential of formative peer-assessment in EBL has yet to be fully harnessed in most settings.</w:t>
      </w:r>
    </w:p>
    <w:p w:rsidR="00E44492" w:rsidRPr="00E44492" w:rsidRDefault="00CC38B2" w:rsidP="0084498F">
      <w:pPr>
        <w:pStyle w:val="ListParagraph"/>
        <w:ind w:firstLine="720"/>
        <w:rPr>
          <w:i/>
          <w:sz w:val="22"/>
          <w:szCs w:val="22"/>
        </w:rPr>
      </w:pPr>
      <w:r>
        <w:rPr>
          <w:i/>
          <w:sz w:val="22"/>
          <w:szCs w:val="22"/>
        </w:rPr>
        <w:t>A growing volume of programmes</w:t>
      </w:r>
      <w:r w:rsidR="00C2398D">
        <w:rPr>
          <w:i/>
          <w:sz w:val="22"/>
          <w:szCs w:val="22"/>
        </w:rPr>
        <w:t>, in Europe and in the East,</w:t>
      </w:r>
      <w:r>
        <w:rPr>
          <w:i/>
          <w:sz w:val="22"/>
          <w:szCs w:val="22"/>
        </w:rPr>
        <w:t xml:space="preserve"> are publishing </w:t>
      </w:r>
      <w:r w:rsidR="00C2417A">
        <w:rPr>
          <w:i/>
          <w:sz w:val="22"/>
          <w:szCs w:val="22"/>
        </w:rPr>
        <w:t xml:space="preserve">their experiences of </w:t>
      </w:r>
      <w:r>
        <w:rPr>
          <w:i/>
          <w:sz w:val="22"/>
          <w:szCs w:val="22"/>
        </w:rPr>
        <w:t xml:space="preserve">the cost-effectiveness for tutors, and </w:t>
      </w:r>
      <w:r w:rsidR="00C2398D">
        <w:rPr>
          <w:i/>
          <w:sz w:val="22"/>
          <w:szCs w:val="22"/>
        </w:rPr>
        <w:t xml:space="preserve">the </w:t>
      </w:r>
      <w:r>
        <w:rPr>
          <w:i/>
          <w:sz w:val="22"/>
          <w:szCs w:val="22"/>
        </w:rPr>
        <w:t xml:space="preserve">pedagogic effectiveness for learners, if there is structured opportunity for peers to formulate and offer constructive feedforward advice on draft work.  This is something facilitators should encourage, offering and encouraging student </w:t>
      </w:r>
      <w:r>
        <w:rPr>
          <w:i/>
          <w:sz w:val="22"/>
          <w:szCs w:val="22"/>
        </w:rPr>
        <w:lastRenderedPageBreak/>
        <w:t>autonomy, and enabling students to learn from their experiences of monitoring the work of others.</w:t>
      </w:r>
    </w:p>
    <w:p w:rsidR="00FE03FD" w:rsidRPr="00FE03FD" w:rsidRDefault="00FE03FD" w:rsidP="00FE03FD">
      <w:pPr>
        <w:pStyle w:val="ListParagraph"/>
        <w:rPr>
          <w:sz w:val="22"/>
          <w:szCs w:val="22"/>
        </w:rPr>
      </w:pPr>
    </w:p>
    <w:p w:rsidR="007A5391" w:rsidRDefault="007A5391" w:rsidP="007A5391">
      <w:pPr>
        <w:pStyle w:val="ListParagraph"/>
        <w:numPr>
          <w:ilvl w:val="0"/>
          <w:numId w:val="2"/>
        </w:numPr>
        <w:rPr>
          <w:sz w:val="22"/>
          <w:szCs w:val="22"/>
        </w:rPr>
      </w:pPr>
      <w:r w:rsidRPr="008B5C30">
        <w:rPr>
          <w:sz w:val="22"/>
          <w:szCs w:val="22"/>
        </w:rPr>
        <w:t>Students need to be, and can be, trained to assess themselves and others objectively; and that is worth doing.</w:t>
      </w:r>
    </w:p>
    <w:p w:rsidR="00CC38B2" w:rsidRPr="00CC38B2" w:rsidRDefault="00CF0A5D" w:rsidP="00C2417A">
      <w:pPr>
        <w:pStyle w:val="ListParagraph"/>
        <w:ind w:firstLine="720"/>
        <w:rPr>
          <w:i/>
          <w:sz w:val="22"/>
          <w:szCs w:val="22"/>
        </w:rPr>
      </w:pPr>
      <w:r>
        <w:rPr>
          <w:i/>
          <w:sz w:val="22"/>
          <w:szCs w:val="22"/>
        </w:rPr>
        <w:t xml:space="preserve">The key word in this assertion is objectively.  Judgements and assessments should be data-based, with data being compared with compatible criteria (see above).  It takes less than two hours, in a motivating activity, to establish for learners the concepts involved in this process, and send them out to engage in it themselves, within the context of their course.  </w:t>
      </w:r>
      <w:r w:rsidR="00C1644F">
        <w:rPr>
          <w:i/>
          <w:sz w:val="22"/>
          <w:szCs w:val="22"/>
        </w:rPr>
        <w:t>Facilitators</w:t>
      </w:r>
      <w:r>
        <w:rPr>
          <w:i/>
          <w:sz w:val="22"/>
          <w:szCs w:val="22"/>
        </w:rPr>
        <w:t xml:space="preserve"> should endeavour to find time for such activity, even if as an optional extra.  They should also declare to students </w:t>
      </w:r>
      <w:r w:rsidR="00C2417A">
        <w:rPr>
          <w:i/>
          <w:sz w:val="22"/>
          <w:szCs w:val="22"/>
        </w:rPr>
        <w:t xml:space="preserve">who will be </w:t>
      </w:r>
      <w:r>
        <w:rPr>
          <w:i/>
          <w:sz w:val="22"/>
          <w:szCs w:val="22"/>
        </w:rPr>
        <w:t>submitting work for assessment that they expect an objective self-assessment, and will discuss (and grade) on the basis of the rigour and objectivity and comprehensiveness of that self-assessment.</w:t>
      </w:r>
    </w:p>
    <w:p w:rsidR="007A5391" w:rsidRPr="008B5C30" w:rsidRDefault="007A5391" w:rsidP="007A5391">
      <w:pPr>
        <w:pStyle w:val="ListParagraph"/>
        <w:rPr>
          <w:sz w:val="22"/>
          <w:szCs w:val="22"/>
        </w:rPr>
      </w:pPr>
    </w:p>
    <w:p w:rsidR="00C56B5A" w:rsidRDefault="00831F1F" w:rsidP="00370A16">
      <w:pPr>
        <w:pStyle w:val="ListParagraph"/>
        <w:numPr>
          <w:ilvl w:val="0"/>
          <w:numId w:val="2"/>
        </w:numPr>
        <w:rPr>
          <w:sz w:val="22"/>
          <w:szCs w:val="22"/>
        </w:rPr>
      </w:pPr>
      <w:r w:rsidRPr="00FE03FD">
        <w:rPr>
          <w:sz w:val="22"/>
          <w:szCs w:val="22"/>
        </w:rPr>
        <w:t>Facilitating EBL should be ring-fenced from programme management and assessment</w:t>
      </w:r>
      <w:r w:rsidR="00370A16" w:rsidRPr="00FE03FD">
        <w:rPr>
          <w:sz w:val="22"/>
          <w:szCs w:val="22"/>
        </w:rPr>
        <w:t>.</w:t>
      </w:r>
    </w:p>
    <w:p w:rsidR="00CF0A5D" w:rsidRPr="00CF0A5D" w:rsidRDefault="00CF0A5D" w:rsidP="00C2417A">
      <w:pPr>
        <w:pStyle w:val="ListParagraph"/>
        <w:ind w:firstLine="720"/>
        <w:rPr>
          <w:i/>
          <w:sz w:val="22"/>
          <w:szCs w:val="22"/>
        </w:rPr>
      </w:pPr>
      <w:r>
        <w:rPr>
          <w:i/>
          <w:sz w:val="22"/>
          <w:szCs w:val="22"/>
        </w:rPr>
        <w:t xml:space="preserve">Recent studies, </w:t>
      </w:r>
      <w:r w:rsidR="00C1644F">
        <w:rPr>
          <w:i/>
          <w:sz w:val="22"/>
          <w:szCs w:val="22"/>
        </w:rPr>
        <w:t>including</w:t>
      </w:r>
      <w:r>
        <w:rPr>
          <w:i/>
          <w:sz w:val="22"/>
          <w:szCs w:val="22"/>
        </w:rPr>
        <w:t xml:space="preserve"> one by Vlachopoulos and Cowan (awaiting publication) reveal that all too often the </w:t>
      </w:r>
      <w:r w:rsidR="00C1644F">
        <w:rPr>
          <w:i/>
          <w:sz w:val="22"/>
          <w:szCs w:val="22"/>
        </w:rPr>
        <w:t>complications</w:t>
      </w:r>
      <w:r>
        <w:rPr>
          <w:i/>
          <w:sz w:val="22"/>
          <w:szCs w:val="22"/>
        </w:rPr>
        <w:t xml:space="preserve"> </w:t>
      </w:r>
      <w:r w:rsidR="00C1644F">
        <w:rPr>
          <w:i/>
          <w:sz w:val="22"/>
          <w:szCs w:val="22"/>
        </w:rPr>
        <w:t>for</w:t>
      </w:r>
      <w:r>
        <w:rPr>
          <w:i/>
          <w:sz w:val="22"/>
          <w:szCs w:val="22"/>
        </w:rPr>
        <w:t xml:space="preserve"> student learning, and the ineffectiveness of </w:t>
      </w:r>
      <w:r w:rsidR="00C2417A">
        <w:rPr>
          <w:i/>
          <w:sz w:val="22"/>
          <w:szCs w:val="22"/>
        </w:rPr>
        <w:t xml:space="preserve">some </w:t>
      </w:r>
      <w:r>
        <w:rPr>
          <w:i/>
          <w:sz w:val="22"/>
          <w:szCs w:val="22"/>
        </w:rPr>
        <w:t xml:space="preserve">facilitated </w:t>
      </w:r>
      <w:r w:rsidR="00C1644F">
        <w:rPr>
          <w:i/>
          <w:sz w:val="22"/>
          <w:szCs w:val="22"/>
        </w:rPr>
        <w:t>enquiry based learning, occurs when the staff tasks within and outwith the ring-fence (see unused part of ppt sequence) are not rigorously separated.  Facilitators should operate within the ring-fence, and resist any temptation or request to move outwith it.</w:t>
      </w:r>
    </w:p>
    <w:p w:rsidR="00CF0A5D" w:rsidRPr="00CF0A5D" w:rsidRDefault="00CF0A5D" w:rsidP="00CF0A5D">
      <w:pPr>
        <w:pStyle w:val="ListParagraph"/>
        <w:rPr>
          <w:i/>
          <w:sz w:val="22"/>
          <w:szCs w:val="22"/>
        </w:rPr>
      </w:pPr>
    </w:p>
    <w:p w:rsidR="00370A16" w:rsidRDefault="00370A16" w:rsidP="00370A16">
      <w:pPr>
        <w:pStyle w:val="ListParagraph"/>
        <w:numPr>
          <w:ilvl w:val="0"/>
          <w:numId w:val="2"/>
        </w:numPr>
        <w:rPr>
          <w:sz w:val="22"/>
          <w:szCs w:val="22"/>
        </w:rPr>
      </w:pPr>
      <w:r w:rsidRPr="007A5391">
        <w:rPr>
          <w:sz w:val="22"/>
          <w:szCs w:val="22"/>
        </w:rPr>
        <w:t>If EBL is genuinely student-directed, there should be unconditional positive regard for the students’ choices of goals.</w:t>
      </w:r>
    </w:p>
    <w:p w:rsidR="00C1644F" w:rsidRPr="00C1644F" w:rsidRDefault="00C1644F" w:rsidP="00C2417A">
      <w:pPr>
        <w:pStyle w:val="ListParagraph"/>
        <w:ind w:firstLine="720"/>
        <w:rPr>
          <w:i/>
          <w:sz w:val="22"/>
          <w:szCs w:val="22"/>
        </w:rPr>
      </w:pPr>
      <w:r>
        <w:rPr>
          <w:i/>
          <w:sz w:val="22"/>
          <w:szCs w:val="22"/>
        </w:rPr>
        <w:t xml:space="preserve">If a student has the </w:t>
      </w:r>
      <w:r w:rsidR="00090EDF">
        <w:rPr>
          <w:i/>
          <w:sz w:val="22"/>
          <w:szCs w:val="22"/>
        </w:rPr>
        <w:t>courage</w:t>
      </w:r>
      <w:r>
        <w:rPr>
          <w:i/>
          <w:sz w:val="22"/>
          <w:szCs w:val="22"/>
        </w:rPr>
        <w:t xml:space="preserve"> to declare a need or a </w:t>
      </w:r>
      <w:r w:rsidR="00090EDF">
        <w:rPr>
          <w:i/>
          <w:sz w:val="22"/>
          <w:szCs w:val="22"/>
        </w:rPr>
        <w:t>goal</w:t>
      </w:r>
      <w:r>
        <w:rPr>
          <w:i/>
          <w:sz w:val="22"/>
          <w:szCs w:val="22"/>
        </w:rPr>
        <w:t xml:space="preserve"> which matters to them, facilitators should take that as an honest declaration, and accord it </w:t>
      </w:r>
      <w:r w:rsidR="00090EDF">
        <w:rPr>
          <w:i/>
          <w:sz w:val="22"/>
          <w:szCs w:val="22"/>
        </w:rPr>
        <w:t>unconditional</w:t>
      </w:r>
      <w:r>
        <w:rPr>
          <w:i/>
          <w:sz w:val="22"/>
          <w:szCs w:val="22"/>
        </w:rPr>
        <w:t xml:space="preserve"> positive regard.  If on a rare occasion, the student is testing the system, or </w:t>
      </w:r>
      <w:r w:rsidR="00090EDF">
        <w:rPr>
          <w:i/>
          <w:sz w:val="22"/>
          <w:szCs w:val="22"/>
        </w:rPr>
        <w:t>playing</w:t>
      </w:r>
      <w:r>
        <w:rPr>
          <w:i/>
          <w:sz w:val="22"/>
          <w:szCs w:val="22"/>
        </w:rPr>
        <w:t xml:space="preserve"> games, that will be made</w:t>
      </w:r>
      <w:r w:rsidR="00C2417A">
        <w:rPr>
          <w:i/>
          <w:sz w:val="22"/>
          <w:szCs w:val="22"/>
        </w:rPr>
        <w:t xml:space="preserve"> apparent by them fairly early </w:t>
      </w:r>
      <w:r>
        <w:rPr>
          <w:i/>
          <w:sz w:val="22"/>
          <w:szCs w:val="22"/>
        </w:rPr>
        <w:t xml:space="preserve">on.  Until that happens, their need should be taken as </w:t>
      </w:r>
      <w:r w:rsidR="00C7638D">
        <w:rPr>
          <w:i/>
          <w:sz w:val="22"/>
          <w:szCs w:val="22"/>
        </w:rPr>
        <w:t xml:space="preserve">sincere – and important.  Note the </w:t>
      </w:r>
      <w:r w:rsidR="00090EDF">
        <w:rPr>
          <w:i/>
          <w:sz w:val="22"/>
          <w:szCs w:val="22"/>
        </w:rPr>
        <w:t>options</w:t>
      </w:r>
      <w:r w:rsidR="00C7638D">
        <w:rPr>
          <w:i/>
          <w:sz w:val="22"/>
          <w:szCs w:val="22"/>
        </w:rPr>
        <w:t xml:space="preserve"> for handling needs, in the unused part of my ppt.</w:t>
      </w:r>
    </w:p>
    <w:p w:rsidR="009E7F0F" w:rsidRPr="008B5C30" w:rsidRDefault="009E7F0F" w:rsidP="009E7F0F">
      <w:pPr>
        <w:pStyle w:val="ListParagraph"/>
        <w:rPr>
          <w:sz w:val="22"/>
          <w:szCs w:val="22"/>
        </w:rPr>
      </w:pPr>
    </w:p>
    <w:p w:rsidR="009E7F0F" w:rsidRDefault="009E7F0F" w:rsidP="00370A16">
      <w:pPr>
        <w:pStyle w:val="ListParagraph"/>
        <w:numPr>
          <w:ilvl w:val="0"/>
          <w:numId w:val="2"/>
        </w:numPr>
        <w:rPr>
          <w:sz w:val="22"/>
          <w:szCs w:val="22"/>
        </w:rPr>
      </w:pPr>
      <w:r w:rsidRPr="008B5C30">
        <w:rPr>
          <w:sz w:val="22"/>
          <w:szCs w:val="22"/>
        </w:rPr>
        <w:t>It is important for EBL students to feel that they trust their tutors.</w:t>
      </w:r>
    </w:p>
    <w:p w:rsidR="00C7638D" w:rsidRPr="00C7638D" w:rsidRDefault="00C7638D" w:rsidP="00C2417A">
      <w:pPr>
        <w:pStyle w:val="ListParagraph"/>
        <w:ind w:firstLine="720"/>
        <w:rPr>
          <w:i/>
          <w:sz w:val="22"/>
          <w:szCs w:val="22"/>
        </w:rPr>
      </w:pPr>
      <w:r>
        <w:rPr>
          <w:i/>
          <w:sz w:val="22"/>
          <w:szCs w:val="22"/>
        </w:rPr>
        <w:t xml:space="preserve">Rogers and Brookfield, amongst others, have long stressed the </w:t>
      </w:r>
      <w:r w:rsidR="00090EDF">
        <w:rPr>
          <w:i/>
          <w:sz w:val="22"/>
          <w:szCs w:val="22"/>
        </w:rPr>
        <w:t>importance</w:t>
      </w:r>
      <w:r>
        <w:rPr>
          <w:i/>
          <w:sz w:val="22"/>
          <w:szCs w:val="22"/>
        </w:rPr>
        <w:t xml:space="preserve"> of a trusting student/tutor relationship.  </w:t>
      </w:r>
      <w:r w:rsidR="00090EDF">
        <w:rPr>
          <w:i/>
          <w:sz w:val="22"/>
          <w:szCs w:val="22"/>
        </w:rPr>
        <w:t xml:space="preserve">It has been my experience in recent years </w:t>
      </w:r>
      <w:r w:rsidR="00090EDF">
        <w:rPr>
          <w:i/>
          <w:sz w:val="22"/>
          <w:szCs w:val="22"/>
        </w:rPr>
        <w:lastRenderedPageBreak/>
        <w:t xml:space="preserve">that the more I move to facilitation, and especially virtual facilitation, the more students volunteer how important it is that they feel they trust me.  </w:t>
      </w:r>
      <w:r>
        <w:rPr>
          <w:i/>
          <w:sz w:val="22"/>
          <w:szCs w:val="22"/>
        </w:rPr>
        <w:t xml:space="preserve">I cannot extract </w:t>
      </w:r>
      <w:r w:rsidR="00090EDF">
        <w:rPr>
          <w:i/>
          <w:sz w:val="22"/>
          <w:szCs w:val="22"/>
        </w:rPr>
        <w:t>from them</w:t>
      </w:r>
      <w:r>
        <w:rPr>
          <w:i/>
          <w:sz w:val="22"/>
          <w:szCs w:val="22"/>
        </w:rPr>
        <w:t xml:space="preserve"> what generates this trust; but sense that it is associated with an empathic relationship.  It is certainly something that matters to learners.</w:t>
      </w:r>
    </w:p>
    <w:p w:rsidR="009E7F0F" w:rsidRPr="008B5C30" w:rsidRDefault="009E7F0F" w:rsidP="009E7F0F">
      <w:pPr>
        <w:pStyle w:val="ListParagraph"/>
        <w:rPr>
          <w:sz w:val="22"/>
          <w:szCs w:val="22"/>
        </w:rPr>
      </w:pPr>
    </w:p>
    <w:p w:rsidR="009E7F0F" w:rsidRDefault="009E7F0F" w:rsidP="00370A16">
      <w:pPr>
        <w:pStyle w:val="ListParagraph"/>
        <w:numPr>
          <w:ilvl w:val="0"/>
          <w:numId w:val="2"/>
        </w:numPr>
        <w:rPr>
          <w:sz w:val="22"/>
          <w:szCs w:val="22"/>
        </w:rPr>
      </w:pPr>
      <w:r w:rsidRPr="008B5C30">
        <w:rPr>
          <w:sz w:val="22"/>
          <w:szCs w:val="22"/>
        </w:rPr>
        <w:t>It is important for EBL tutors to believe in the ability, values and potential of their students - from the outset.</w:t>
      </w:r>
    </w:p>
    <w:p w:rsidR="00C7638D" w:rsidRPr="00C7638D" w:rsidRDefault="00090EDF" w:rsidP="00C2417A">
      <w:pPr>
        <w:pStyle w:val="ListParagraph"/>
        <w:ind w:firstLine="720"/>
        <w:rPr>
          <w:i/>
          <w:sz w:val="22"/>
          <w:szCs w:val="22"/>
        </w:rPr>
      </w:pPr>
      <w:r>
        <w:rPr>
          <w:i/>
          <w:sz w:val="22"/>
          <w:szCs w:val="22"/>
        </w:rPr>
        <w:t>One constant feature of much reporting of EBL experience concerns the extent to which learners have achieved heights of performance, learning and understanding of which, at the outset, their facilitative tutors would never have imagined them capable.  The moral is clear.  Don’t prejudge students in terms of their limitations.  They will so often surprise us, if encouraged to achieve.</w:t>
      </w:r>
    </w:p>
    <w:p w:rsidR="009E7F0F" w:rsidRPr="008B5C30" w:rsidRDefault="009E7F0F" w:rsidP="009E7F0F">
      <w:pPr>
        <w:pStyle w:val="ListParagraph"/>
        <w:rPr>
          <w:sz w:val="22"/>
          <w:szCs w:val="22"/>
        </w:rPr>
      </w:pPr>
    </w:p>
    <w:p w:rsidR="009E7F0F" w:rsidRDefault="009E7F0F" w:rsidP="00370A16">
      <w:pPr>
        <w:pStyle w:val="ListParagraph"/>
        <w:numPr>
          <w:ilvl w:val="0"/>
          <w:numId w:val="2"/>
        </w:numPr>
        <w:rPr>
          <w:sz w:val="22"/>
          <w:szCs w:val="22"/>
        </w:rPr>
      </w:pPr>
      <w:r w:rsidRPr="008B5C30">
        <w:rPr>
          <w:sz w:val="22"/>
          <w:szCs w:val="22"/>
        </w:rPr>
        <w:t xml:space="preserve">When EBL students succeed, they need to be able to </w:t>
      </w:r>
      <w:r w:rsidR="008B5C30" w:rsidRPr="008B5C30">
        <w:rPr>
          <w:sz w:val="22"/>
          <w:szCs w:val="22"/>
        </w:rPr>
        <w:t>“</w:t>
      </w:r>
      <w:r w:rsidRPr="008B5C30">
        <w:rPr>
          <w:sz w:val="22"/>
          <w:szCs w:val="22"/>
        </w:rPr>
        <w:t>fly the nest</w:t>
      </w:r>
      <w:r w:rsidR="008B5C30" w:rsidRPr="008B5C30">
        <w:rPr>
          <w:sz w:val="22"/>
          <w:szCs w:val="22"/>
        </w:rPr>
        <w:t>”</w:t>
      </w:r>
      <w:r w:rsidRPr="008B5C30">
        <w:rPr>
          <w:sz w:val="22"/>
          <w:szCs w:val="22"/>
        </w:rPr>
        <w:t>, knowing that they did it all in their own strength, owing little or nothing to their facilitator!</w:t>
      </w:r>
    </w:p>
    <w:p w:rsidR="00090EDF" w:rsidRDefault="00090EDF" w:rsidP="00C2417A">
      <w:pPr>
        <w:pStyle w:val="ListParagraph"/>
        <w:ind w:firstLine="720"/>
        <w:rPr>
          <w:i/>
          <w:sz w:val="22"/>
          <w:szCs w:val="22"/>
        </w:rPr>
      </w:pPr>
      <w:r>
        <w:rPr>
          <w:i/>
          <w:sz w:val="22"/>
          <w:szCs w:val="22"/>
        </w:rPr>
        <w:t xml:space="preserve">Perhaps the most hurtful experience for a committed facilitator is to devote time, effort, care and prompting to help a student to grow in strength and eventually </w:t>
      </w:r>
      <w:r w:rsidR="00C2417A">
        <w:rPr>
          <w:i/>
          <w:sz w:val="22"/>
          <w:szCs w:val="22"/>
        </w:rPr>
        <w:t xml:space="preserve">to </w:t>
      </w:r>
      <w:r>
        <w:rPr>
          <w:i/>
          <w:sz w:val="22"/>
          <w:szCs w:val="22"/>
        </w:rPr>
        <w:t xml:space="preserve">achieve or excel – only to find that the student honestly believes that they did this in their own strength.  That’s just a cross </w:t>
      </w:r>
      <w:r w:rsidR="00FE6A1D">
        <w:rPr>
          <w:i/>
          <w:sz w:val="22"/>
          <w:szCs w:val="22"/>
        </w:rPr>
        <w:t xml:space="preserve">which </w:t>
      </w:r>
      <w:r>
        <w:rPr>
          <w:i/>
          <w:sz w:val="22"/>
          <w:szCs w:val="22"/>
        </w:rPr>
        <w:t>facilitators sometimes have to bear, recognising that such learner reaction is in a sense a tribute to the effectiveness of the facilitation of their learning autonomy,</w:t>
      </w:r>
    </w:p>
    <w:p w:rsidR="00C2417A" w:rsidRDefault="00C2417A" w:rsidP="00C2417A">
      <w:pPr>
        <w:rPr>
          <w:i/>
          <w:sz w:val="22"/>
          <w:szCs w:val="22"/>
        </w:rPr>
      </w:pPr>
    </w:p>
    <w:p w:rsidR="00C2417A" w:rsidRDefault="00C2417A" w:rsidP="00C2417A">
      <w:pPr>
        <w:rPr>
          <w:sz w:val="22"/>
          <w:szCs w:val="22"/>
        </w:rPr>
      </w:pPr>
      <w:hyperlink r:id="rId5" w:history="1">
        <w:r w:rsidRPr="00250BD9">
          <w:rPr>
            <w:rStyle w:val="Hyperlink"/>
            <w:sz w:val="22"/>
            <w:szCs w:val="22"/>
          </w:rPr>
          <w:t>J.Cowan@napier.ac.uk</w:t>
        </w:r>
      </w:hyperlink>
    </w:p>
    <w:p w:rsidR="00C2417A" w:rsidRPr="00C2417A" w:rsidRDefault="00C2417A" w:rsidP="00C2417A">
      <w:pPr>
        <w:rPr>
          <w:sz w:val="22"/>
          <w:szCs w:val="22"/>
        </w:rPr>
      </w:pPr>
    </w:p>
    <w:sectPr w:rsidR="00C2417A" w:rsidRPr="00C2417A" w:rsidSect="00F12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Kalinga">
    <w:panose1 w:val="020006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3E8"/>
    <w:multiLevelType w:val="hybridMultilevel"/>
    <w:tmpl w:val="80D26B80"/>
    <w:lvl w:ilvl="0" w:tplc="73446B94">
      <w:start w:val="1"/>
      <w:numFmt w:val="bullet"/>
      <w:lvlText w:val=""/>
      <w:lvlJc w:val="left"/>
      <w:pPr>
        <w:tabs>
          <w:tab w:val="num" w:pos="720"/>
        </w:tabs>
        <w:ind w:left="720" w:hanging="360"/>
      </w:pPr>
      <w:rPr>
        <w:rFonts w:ascii="Wingdings" w:hAnsi="Wingdings" w:hint="default"/>
      </w:rPr>
    </w:lvl>
    <w:lvl w:ilvl="1" w:tplc="6D1E9836" w:tentative="1">
      <w:start w:val="1"/>
      <w:numFmt w:val="bullet"/>
      <w:lvlText w:val=""/>
      <w:lvlJc w:val="left"/>
      <w:pPr>
        <w:tabs>
          <w:tab w:val="num" w:pos="1440"/>
        </w:tabs>
        <w:ind w:left="1440" w:hanging="360"/>
      </w:pPr>
      <w:rPr>
        <w:rFonts w:ascii="Wingdings" w:hAnsi="Wingdings" w:hint="default"/>
      </w:rPr>
    </w:lvl>
    <w:lvl w:ilvl="2" w:tplc="DCD8C768" w:tentative="1">
      <w:start w:val="1"/>
      <w:numFmt w:val="bullet"/>
      <w:lvlText w:val=""/>
      <w:lvlJc w:val="left"/>
      <w:pPr>
        <w:tabs>
          <w:tab w:val="num" w:pos="2160"/>
        </w:tabs>
        <w:ind w:left="2160" w:hanging="360"/>
      </w:pPr>
      <w:rPr>
        <w:rFonts w:ascii="Wingdings" w:hAnsi="Wingdings" w:hint="default"/>
      </w:rPr>
    </w:lvl>
    <w:lvl w:ilvl="3" w:tplc="57ACD56C" w:tentative="1">
      <w:start w:val="1"/>
      <w:numFmt w:val="bullet"/>
      <w:lvlText w:val=""/>
      <w:lvlJc w:val="left"/>
      <w:pPr>
        <w:tabs>
          <w:tab w:val="num" w:pos="2880"/>
        </w:tabs>
        <w:ind w:left="2880" w:hanging="360"/>
      </w:pPr>
      <w:rPr>
        <w:rFonts w:ascii="Wingdings" w:hAnsi="Wingdings" w:hint="default"/>
      </w:rPr>
    </w:lvl>
    <w:lvl w:ilvl="4" w:tplc="29807046" w:tentative="1">
      <w:start w:val="1"/>
      <w:numFmt w:val="bullet"/>
      <w:lvlText w:val=""/>
      <w:lvlJc w:val="left"/>
      <w:pPr>
        <w:tabs>
          <w:tab w:val="num" w:pos="3600"/>
        </w:tabs>
        <w:ind w:left="3600" w:hanging="360"/>
      </w:pPr>
      <w:rPr>
        <w:rFonts w:ascii="Wingdings" w:hAnsi="Wingdings" w:hint="default"/>
      </w:rPr>
    </w:lvl>
    <w:lvl w:ilvl="5" w:tplc="BE6239BE" w:tentative="1">
      <w:start w:val="1"/>
      <w:numFmt w:val="bullet"/>
      <w:lvlText w:val=""/>
      <w:lvlJc w:val="left"/>
      <w:pPr>
        <w:tabs>
          <w:tab w:val="num" w:pos="4320"/>
        </w:tabs>
        <w:ind w:left="4320" w:hanging="360"/>
      </w:pPr>
      <w:rPr>
        <w:rFonts w:ascii="Wingdings" w:hAnsi="Wingdings" w:hint="default"/>
      </w:rPr>
    </w:lvl>
    <w:lvl w:ilvl="6" w:tplc="8B14E5CA" w:tentative="1">
      <w:start w:val="1"/>
      <w:numFmt w:val="bullet"/>
      <w:lvlText w:val=""/>
      <w:lvlJc w:val="left"/>
      <w:pPr>
        <w:tabs>
          <w:tab w:val="num" w:pos="5040"/>
        </w:tabs>
        <w:ind w:left="5040" w:hanging="360"/>
      </w:pPr>
      <w:rPr>
        <w:rFonts w:ascii="Wingdings" w:hAnsi="Wingdings" w:hint="default"/>
      </w:rPr>
    </w:lvl>
    <w:lvl w:ilvl="7" w:tplc="2E026CD2" w:tentative="1">
      <w:start w:val="1"/>
      <w:numFmt w:val="bullet"/>
      <w:lvlText w:val=""/>
      <w:lvlJc w:val="left"/>
      <w:pPr>
        <w:tabs>
          <w:tab w:val="num" w:pos="5760"/>
        </w:tabs>
        <w:ind w:left="5760" w:hanging="360"/>
      </w:pPr>
      <w:rPr>
        <w:rFonts w:ascii="Wingdings" w:hAnsi="Wingdings" w:hint="default"/>
      </w:rPr>
    </w:lvl>
    <w:lvl w:ilvl="8" w:tplc="30C0A7C8" w:tentative="1">
      <w:start w:val="1"/>
      <w:numFmt w:val="bullet"/>
      <w:lvlText w:val=""/>
      <w:lvlJc w:val="left"/>
      <w:pPr>
        <w:tabs>
          <w:tab w:val="num" w:pos="6480"/>
        </w:tabs>
        <w:ind w:left="6480" w:hanging="360"/>
      </w:pPr>
      <w:rPr>
        <w:rFonts w:ascii="Wingdings" w:hAnsi="Wingdings" w:hint="default"/>
      </w:rPr>
    </w:lvl>
  </w:abstractNum>
  <w:abstractNum w:abstractNumId="1">
    <w:nsid w:val="53941C1E"/>
    <w:multiLevelType w:val="hybridMultilevel"/>
    <w:tmpl w:val="AEF8F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A16"/>
    <w:rsid w:val="00025B02"/>
    <w:rsid w:val="00090EDF"/>
    <w:rsid w:val="000B0C9B"/>
    <w:rsid w:val="000E1FDA"/>
    <w:rsid w:val="0012442E"/>
    <w:rsid w:val="002414B9"/>
    <w:rsid w:val="00241B44"/>
    <w:rsid w:val="002E4286"/>
    <w:rsid w:val="0030380E"/>
    <w:rsid w:val="00370A16"/>
    <w:rsid w:val="00373D74"/>
    <w:rsid w:val="003E0548"/>
    <w:rsid w:val="00461EB0"/>
    <w:rsid w:val="00462683"/>
    <w:rsid w:val="004B261D"/>
    <w:rsid w:val="00560A29"/>
    <w:rsid w:val="005A5AF5"/>
    <w:rsid w:val="005D3860"/>
    <w:rsid w:val="00673F39"/>
    <w:rsid w:val="00705E2C"/>
    <w:rsid w:val="007A5391"/>
    <w:rsid w:val="007C0B4B"/>
    <w:rsid w:val="00831F1F"/>
    <w:rsid w:val="0084498F"/>
    <w:rsid w:val="008566FE"/>
    <w:rsid w:val="008A55E7"/>
    <w:rsid w:val="008B5C30"/>
    <w:rsid w:val="008C5BED"/>
    <w:rsid w:val="00934906"/>
    <w:rsid w:val="00947F02"/>
    <w:rsid w:val="009B1FD3"/>
    <w:rsid w:val="009E47AE"/>
    <w:rsid w:val="009E7F0F"/>
    <w:rsid w:val="00A27B54"/>
    <w:rsid w:val="00B30418"/>
    <w:rsid w:val="00BF35F0"/>
    <w:rsid w:val="00C05BAB"/>
    <w:rsid w:val="00C1644F"/>
    <w:rsid w:val="00C2398D"/>
    <w:rsid w:val="00C2417A"/>
    <w:rsid w:val="00C4436B"/>
    <w:rsid w:val="00C56B5A"/>
    <w:rsid w:val="00C7638D"/>
    <w:rsid w:val="00C80ECB"/>
    <w:rsid w:val="00CC38B2"/>
    <w:rsid w:val="00CF0A5D"/>
    <w:rsid w:val="00E43579"/>
    <w:rsid w:val="00E44492"/>
    <w:rsid w:val="00EA3660"/>
    <w:rsid w:val="00F1252F"/>
    <w:rsid w:val="00F146C1"/>
    <w:rsid w:val="00FC755D"/>
    <w:rsid w:val="00FE03FD"/>
    <w:rsid w:val="00FE6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HAnsi" w:hAnsi="Malgun Gothic" w:cs="Kalinga"/>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16"/>
    <w:pPr>
      <w:ind w:left="720"/>
      <w:contextualSpacing/>
    </w:pPr>
  </w:style>
  <w:style w:type="paragraph" w:styleId="BalloonText">
    <w:name w:val="Balloon Text"/>
    <w:basedOn w:val="Normal"/>
    <w:link w:val="BalloonTextChar"/>
    <w:uiPriority w:val="99"/>
    <w:semiHidden/>
    <w:unhideWhenUsed/>
    <w:rsid w:val="00CC3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B2"/>
    <w:rPr>
      <w:rFonts w:ascii="Tahoma" w:hAnsi="Tahoma" w:cs="Tahoma"/>
      <w:sz w:val="16"/>
      <w:szCs w:val="16"/>
    </w:rPr>
  </w:style>
  <w:style w:type="character" w:styleId="Hyperlink">
    <w:name w:val="Hyperlink"/>
    <w:basedOn w:val="DefaultParagraphFont"/>
    <w:uiPriority w:val="99"/>
    <w:unhideWhenUsed/>
    <w:rsid w:val="00C241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309627">
      <w:bodyDiv w:val="1"/>
      <w:marLeft w:val="0"/>
      <w:marRight w:val="0"/>
      <w:marTop w:val="0"/>
      <w:marBottom w:val="0"/>
      <w:divBdr>
        <w:top w:val="none" w:sz="0" w:space="0" w:color="auto"/>
        <w:left w:val="none" w:sz="0" w:space="0" w:color="auto"/>
        <w:bottom w:val="none" w:sz="0" w:space="0" w:color="auto"/>
        <w:right w:val="none" w:sz="0" w:space="0" w:color="auto"/>
      </w:divBdr>
      <w:divsChild>
        <w:div w:id="210659321">
          <w:marLeft w:val="403"/>
          <w:marRight w:val="0"/>
          <w:marTop w:val="300"/>
          <w:marBottom w:val="0"/>
          <w:divBdr>
            <w:top w:val="none" w:sz="0" w:space="0" w:color="auto"/>
            <w:left w:val="none" w:sz="0" w:space="0" w:color="auto"/>
            <w:bottom w:val="none" w:sz="0" w:space="0" w:color="auto"/>
            <w:right w:val="none" w:sz="0" w:space="0" w:color="auto"/>
          </w:divBdr>
        </w:div>
        <w:div w:id="1632861610">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wan@napi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2009-10-22T08:14:00Z</dcterms:created>
  <dcterms:modified xsi:type="dcterms:W3CDTF">2009-10-22T18:18:00Z</dcterms:modified>
</cp:coreProperties>
</file>